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B06D" w14:textId="77777777" w:rsidR="0002426E" w:rsidRDefault="0002426E" w:rsidP="0002426E">
      <w:pPr>
        <w:autoSpaceDE w:val="0"/>
        <w:autoSpaceDN w:val="0"/>
        <w:adjustRightInd w:val="0"/>
        <w:snapToGrid w:val="0"/>
        <w:spacing w:line="440" w:lineRule="exact"/>
        <w:rPr>
          <w:rFonts w:eastAsia="黑体"/>
          <w:b/>
          <w:bCs/>
          <w:color w:val="000000"/>
          <w:spacing w:val="-3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5</w:t>
      </w:r>
    </w:p>
    <w:p w14:paraId="44DF2A87" w14:textId="77777777" w:rsidR="0002426E" w:rsidRDefault="0002426E" w:rsidP="0002426E">
      <w:pPr>
        <w:spacing w:before="67" w:line="596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沈阳市长期护理保险配置规划</w:t>
      </w:r>
    </w:p>
    <w:p w14:paraId="406F4A38" w14:textId="77777777" w:rsidR="0002426E" w:rsidRDefault="0002426E" w:rsidP="0002426E">
      <w:pPr>
        <w:pStyle w:val="TOC1"/>
        <w:rPr>
          <w:rFonts w:ascii="Times New Roman" w:hAnsi="Times New Roman"/>
          <w:color w:val="000000"/>
          <w:sz w:val="32"/>
          <w:szCs w:val="32"/>
        </w:rPr>
      </w:pPr>
    </w:p>
    <w:tbl>
      <w:tblPr>
        <w:tblW w:w="8984" w:type="dxa"/>
        <w:jc w:val="center"/>
        <w:tblLook w:val="04A0" w:firstRow="1" w:lastRow="0" w:firstColumn="1" w:lastColumn="0" w:noHBand="0" w:noVBand="1"/>
      </w:tblPr>
      <w:tblGrid>
        <w:gridCol w:w="2060"/>
        <w:gridCol w:w="2190"/>
        <w:gridCol w:w="2310"/>
        <w:gridCol w:w="2424"/>
      </w:tblGrid>
      <w:tr w:rsidR="0002426E" w14:paraId="629D64B9" w14:textId="77777777" w:rsidTr="006049C1">
        <w:trPr>
          <w:trHeight w:val="798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23A2" w14:textId="77777777" w:rsidR="0002426E" w:rsidRDefault="0002426E" w:rsidP="006049C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eastAsia="黑体" w:cs="黑体"/>
                <w:color w:val="000000"/>
                <w:sz w:val="28"/>
                <w:szCs w:val="28"/>
              </w:rPr>
            </w:pPr>
            <w:r>
              <w:rPr>
                <w:rFonts w:eastAsia="黑体" w:cs="黑体" w:hint="eastAsia"/>
                <w:color w:val="000000"/>
                <w:kern w:val="0"/>
                <w:sz w:val="28"/>
                <w:szCs w:val="28"/>
                <w:lang w:bidi="ar"/>
              </w:rPr>
              <w:t>辖区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B6CD" w14:textId="77777777" w:rsidR="0002426E" w:rsidRDefault="0002426E" w:rsidP="006049C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8"/>
                <w:szCs w:val="28"/>
                <w:lang w:bidi="ar"/>
              </w:rPr>
              <w:t>居家护理机构</w:t>
            </w:r>
          </w:p>
          <w:p w14:paraId="1B1F8BC0" w14:textId="77777777" w:rsidR="0002426E" w:rsidRDefault="0002426E" w:rsidP="006049C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8"/>
                <w:szCs w:val="28"/>
                <w:lang w:bidi="ar"/>
              </w:rPr>
              <w:t>服务人数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FDD9" w14:textId="77777777" w:rsidR="0002426E" w:rsidRDefault="0002426E" w:rsidP="006049C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8"/>
                <w:szCs w:val="28"/>
                <w:lang w:bidi="ar"/>
              </w:rPr>
              <w:t>社区护理机构</w:t>
            </w:r>
          </w:p>
          <w:p w14:paraId="6C57310A" w14:textId="77777777" w:rsidR="0002426E" w:rsidRDefault="0002426E" w:rsidP="006049C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4A36" w14:textId="77777777" w:rsidR="0002426E" w:rsidRDefault="0002426E" w:rsidP="006049C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8"/>
                <w:szCs w:val="28"/>
                <w:lang w:bidi="ar"/>
              </w:rPr>
              <w:t>护理专区床位</w:t>
            </w:r>
          </w:p>
          <w:p w14:paraId="1488E3F2" w14:textId="77777777" w:rsidR="0002426E" w:rsidRDefault="0002426E" w:rsidP="006049C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02426E" w14:paraId="369CE0A7" w14:textId="77777777" w:rsidTr="006049C1">
        <w:trPr>
          <w:trHeight w:val="9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F4AF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和平区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17F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3900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1965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23BE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850</w:t>
            </w:r>
          </w:p>
        </w:tc>
      </w:tr>
      <w:tr w:rsidR="0002426E" w14:paraId="7A02D24F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3C17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沈河区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0B88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3900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3DB2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8E9C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850</w:t>
            </w:r>
          </w:p>
        </w:tc>
      </w:tr>
      <w:tr w:rsidR="0002426E" w14:paraId="22247FB3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0B9F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铁西区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B465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6500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542B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C86A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1500</w:t>
            </w:r>
          </w:p>
        </w:tc>
      </w:tr>
      <w:tr w:rsidR="0002426E" w14:paraId="16967009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ACCC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皇姑区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5D8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5800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381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DBC9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1300</w:t>
            </w:r>
          </w:p>
        </w:tc>
      </w:tr>
      <w:tr w:rsidR="0002426E" w14:paraId="16FE2F6E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BDB9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大东区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1B60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4000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226C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35F7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900</w:t>
            </w:r>
          </w:p>
        </w:tc>
      </w:tr>
      <w:tr w:rsidR="0002426E" w14:paraId="402E481E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5B9D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浑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68E9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1300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6213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4BEB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</w:tr>
      <w:tr w:rsidR="0002426E" w14:paraId="7AB3A519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8742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于洪区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B915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1100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26C3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A8F0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:rsidR="0002426E" w14:paraId="59783686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ACD6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沈北新区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7836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1100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B418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B596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:rsidR="0002426E" w14:paraId="28BC6AC5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9668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苏家屯区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0AEB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1400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AC05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FCB4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</w:tr>
      <w:tr w:rsidR="0002426E" w14:paraId="2C5371F6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D830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辽中区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945C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400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6EFB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59D8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02426E" w14:paraId="23606671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B094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新民市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D8D0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600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5C21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6383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:rsidR="0002426E" w14:paraId="6688DBCF" w14:textId="77777777" w:rsidTr="006049C1">
        <w:trPr>
          <w:trHeight w:val="4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CC53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法库县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6CBC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400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474E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6178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02426E" w14:paraId="784809D8" w14:textId="77777777" w:rsidTr="006049C1">
        <w:trPr>
          <w:trHeight w:val="466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7C47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康平县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7D1E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400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D31E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2367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02426E" w14:paraId="2F11286E" w14:textId="77777777" w:rsidTr="006049C1">
        <w:trPr>
          <w:trHeight w:val="38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A517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6CDA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30800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A6A8" w14:textId="77777777" w:rsidR="0002426E" w:rsidRDefault="0002426E" w:rsidP="006049C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7577" w14:textId="77777777" w:rsidR="0002426E" w:rsidRDefault="0002426E" w:rsidP="006049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6900</w:t>
            </w:r>
          </w:p>
        </w:tc>
      </w:tr>
    </w:tbl>
    <w:p w14:paraId="4048C167" w14:textId="77777777" w:rsidR="0002426E" w:rsidRDefault="0002426E" w:rsidP="0002426E"/>
    <w:p w14:paraId="00B4C82C" w14:textId="77777777" w:rsidR="009375B8" w:rsidRDefault="009375B8">
      <w:pPr>
        <w:rPr>
          <w:rFonts w:hint="eastAsia"/>
        </w:rPr>
      </w:pPr>
    </w:p>
    <w:sectPr w:rsidR="009375B8" w:rsidSect="0002426E">
      <w:headerReference w:type="default" r:id="rId6"/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F0BF" w14:textId="77777777" w:rsidR="007B49B7" w:rsidRDefault="007B49B7" w:rsidP="0002426E">
      <w:r>
        <w:separator/>
      </w:r>
    </w:p>
  </w:endnote>
  <w:endnote w:type="continuationSeparator" w:id="0">
    <w:p w14:paraId="0815A877" w14:textId="77777777" w:rsidR="007B49B7" w:rsidRDefault="007B49B7" w:rsidP="000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0834" w14:textId="77777777" w:rsidR="0002426E" w:rsidRDefault="0002426E">
    <w:pPr>
      <w:pStyle w:val="af0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AC971" wp14:editId="194EF30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84449312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685DC" w14:textId="77777777" w:rsidR="0002426E" w:rsidRDefault="0002426E">
                          <w:pPr>
                            <w:pStyle w:val="af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AC97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230685DC" w14:textId="77777777" w:rsidR="0002426E" w:rsidRDefault="0002426E">
                    <w:pPr>
                      <w:pStyle w:val="af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5F84" w14:textId="77777777" w:rsidR="007B49B7" w:rsidRDefault="007B49B7" w:rsidP="0002426E">
      <w:r>
        <w:separator/>
      </w:r>
    </w:p>
  </w:footnote>
  <w:footnote w:type="continuationSeparator" w:id="0">
    <w:p w14:paraId="493AA124" w14:textId="77777777" w:rsidR="007B49B7" w:rsidRDefault="007B49B7" w:rsidP="0002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C6CE" w14:textId="77777777" w:rsidR="0002426E" w:rsidRDefault="0002426E">
    <w:pPr>
      <w:pStyle w:val="ae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88"/>
    <w:rsid w:val="0002426E"/>
    <w:rsid w:val="002B2FC5"/>
    <w:rsid w:val="005D3644"/>
    <w:rsid w:val="006F0C88"/>
    <w:rsid w:val="007B49B7"/>
    <w:rsid w:val="0093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E7A0C"/>
  <w15:chartTrackingRefBased/>
  <w15:docId w15:val="{50620541-D703-484A-B044-A36394C0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0242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0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C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C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C8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0C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C8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F0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C8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F0C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F0C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0C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02426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426E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024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426E"/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02426E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152</Characters>
  <Application>Microsoft Office Word</Application>
  <DocSecurity>0</DocSecurity>
  <Lines>30</Lines>
  <Paragraphs>24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2026-01-13T13:37:00Z</dcterms:created>
  <dcterms:modified xsi:type="dcterms:W3CDTF">2026-01-13T13:37:00Z</dcterms:modified>
</cp:coreProperties>
</file>