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bookmarkStart w:id="2" w:name="_GoBack"/>
      <w:bookmarkEnd w:id="2"/>
    </w:p>
    <w:p>
      <w:pPr>
        <w:spacing w:line="560" w:lineRule="exact"/>
        <w:rPr>
          <w:rFonts w:ascii="仿宋" w:hAnsi="仿宋" w:eastAsia="仿宋"/>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tcPr>
          <w:p>
            <w:pPr>
              <w:jc w:val="distribute"/>
              <w:rPr>
                <w:rFonts w:ascii="宋体" w:hAnsi="宋体"/>
                <w:b/>
                <w:color w:val="FF0000"/>
                <w:sz w:val="72"/>
                <w:szCs w:val="72"/>
              </w:rPr>
            </w:pPr>
            <w:r>
              <w:rPr>
                <w:rFonts w:hint="eastAsia" w:ascii="宋体" w:hAnsi="宋体" w:cs="仿宋"/>
                <w:b/>
                <w:color w:val="FF0000"/>
                <w:w w:val="95"/>
                <w:sz w:val="72"/>
                <w:szCs w:val="72"/>
              </w:rPr>
              <w:t>沈阳市自然资源局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tcPr>
          <w:p>
            <w:pPr>
              <w:jc w:val="distribute"/>
              <w:rPr>
                <w:rFonts w:ascii="宋体" w:hAnsi="宋体"/>
                <w:b/>
                <w:color w:val="FF0000"/>
                <w:sz w:val="72"/>
                <w:szCs w:val="72"/>
              </w:rPr>
            </w:pPr>
            <w:r>
              <w:rPr>
                <w:rFonts w:hint="eastAsia" w:ascii="宋体" w:hAnsi="宋体" w:cs="仿宋"/>
                <w:b/>
                <w:color w:val="FF0000"/>
                <w:w w:val="95"/>
                <w:sz w:val="72"/>
                <w:szCs w:val="72"/>
              </w:rPr>
              <w:t>国家税务总局沈阳市税务局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tcPr>
          <w:p>
            <w:pPr>
              <w:jc w:val="distribute"/>
              <w:rPr>
                <w:rFonts w:ascii="宋体" w:hAnsi="宋体"/>
                <w:b/>
                <w:color w:val="FF0000"/>
                <w:sz w:val="72"/>
                <w:szCs w:val="72"/>
              </w:rPr>
            </w:pPr>
            <w:r>
              <w:rPr>
                <w:rFonts w:hint="eastAsia" w:ascii="宋体" w:hAnsi="宋体" w:cs="仿宋"/>
                <w:b/>
                <w:color w:val="FF0000"/>
                <w:w w:val="95"/>
                <w:sz w:val="72"/>
                <w:szCs w:val="72"/>
              </w:rPr>
              <w:t>沈阳市城乡建设局</w:t>
            </w:r>
          </w:p>
        </w:tc>
      </w:tr>
    </w:tbl>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_GB2312" w:hAnsi="仿宋" w:eastAsia="仿宋_GB2312"/>
          <w:sz w:val="32"/>
          <w:szCs w:val="32"/>
        </w:rPr>
        <w:t>沈自然资发〔</w:t>
      </w:r>
      <w:r>
        <w:rPr>
          <w:rFonts w:ascii="仿宋_GB2312" w:hAnsi="仿宋" w:eastAsia="仿宋_GB2312"/>
          <w:sz w:val="32"/>
          <w:szCs w:val="32"/>
        </w:rPr>
        <w:t>2024〕19号</w:t>
      </w:r>
      <w:bookmarkEnd w:id="0"/>
    </w:p>
    <w:p>
      <w:pPr>
        <w:rPr>
          <w:rFonts w:ascii="仿宋" w:hAnsi="仿宋" w:eastAsia="仿宋"/>
          <w:sz w:val="32"/>
          <w:szCs w:val="32"/>
        </w:rPr>
      </w:pPr>
      <w:r>
        <w:rPr>
          <w:rFonts w:ascii="仿宋" w:hAnsi="仿宋" w:eastAsia="仿宋"/>
          <w:sz w:val="32"/>
          <w:szCs w:val="32"/>
        </w:rPr>
        <w:pict>
          <v:shape id="_x0000_s1028" o:spid="_x0000_s1028" o:spt="32" type="#_x0000_t32" style="position:absolute;left:0pt;margin-left:6.15pt;margin-top:5.2pt;height:0pt;width:408.75pt;z-index:251659264;mso-width-relative:page;mso-height-relative:page;" o:connectortype="straight" filled="f" stroked="t" coordsize="21600,21600">
            <v:path arrowok="t"/>
            <v:fill on="f" focussize="0,0"/>
            <v:stroke weight="1.5pt" color="#FF0000"/>
            <v:imagedata o:title=""/>
            <o:lock v:ext="edit"/>
          </v:shape>
        </w:pict>
      </w:r>
    </w:p>
    <w:p>
      <w:pPr>
        <w:widowControl/>
        <w:spacing w:line="760" w:lineRule="exact"/>
        <w:jc w:val="center"/>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市自然资源局 市税务局 市城乡建设局关于</w:t>
      </w:r>
    </w:p>
    <w:p>
      <w:pPr>
        <w:widowControl/>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印发《</w:t>
      </w:r>
      <w:r>
        <w:rPr>
          <w:rFonts w:hint="eastAsia" w:ascii="方正小标宋简体" w:hAnsi="方正小标宋简体" w:eastAsia="方正小标宋简体" w:cs="方正小标宋简体"/>
          <w:sz w:val="44"/>
          <w:szCs w:val="44"/>
        </w:rPr>
        <w:t>沈阳市城市更新保留建筑不动产</w:t>
      </w:r>
    </w:p>
    <w:p>
      <w:pPr>
        <w:widowControl/>
        <w:spacing w:line="760" w:lineRule="exact"/>
        <w:jc w:val="center"/>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sz w:val="44"/>
          <w:szCs w:val="44"/>
        </w:rPr>
        <w:t>登记实施意见(试行)</w:t>
      </w:r>
      <w:r>
        <w:rPr>
          <w:rFonts w:hint="eastAsia" w:ascii="方正小标宋简体" w:hAnsi="方正小标宋简体" w:eastAsia="方正小标宋简体" w:cs="方正小标宋简体"/>
          <w:w w:val="95"/>
          <w:sz w:val="44"/>
          <w:szCs w:val="44"/>
        </w:rPr>
        <w:t>》的通知</w:t>
      </w:r>
    </w:p>
    <w:p>
      <w:pPr>
        <w:widowControl/>
        <w:spacing w:line="760" w:lineRule="exact"/>
        <w:jc w:val="center"/>
        <w:rPr>
          <w:rFonts w:ascii="方正小标宋简体" w:hAnsi="方正小标宋简体" w:eastAsia="方正小标宋简体" w:cs="方正小标宋简体"/>
          <w:w w:val="95"/>
          <w:sz w:val="44"/>
          <w:szCs w:val="44"/>
        </w:rPr>
      </w:pPr>
    </w:p>
    <w:p>
      <w:pPr>
        <w:widowControl/>
        <w:spacing w:line="760" w:lineRule="exact"/>
        <w:rPr>
          <w:rFonts w:ascii="仿宋" w:hAnsi="仿宋" w:eastAsia="仿宋" w:cs="仿宋"/>
          <w:color w:val="000000" w:themeColor="text1"/>
          <w:w w:val="95"/>
          <w:sz w:val="32"/>
          <w:szCs w:val="32"/>
        </w:rPr>
      </w:pPr>
      <w:r>
        <w:rPr>
          <w:rFonts w:hint="eastAsia" w:ascii="仿宋" w:hAnsi="仿宋" w:eastAsia="仿宋" w:cs="仿宋"/>
          <w:color w:val="000000" w:themeColor="text1"/>
          <w:w w:val="95"/>
          <w:sz w:val="32"/>
          <w:szCs w:val="32"/>
        </w:rPr>
        <w:t>各区、县（市）人民政府，市直各有关部门：</w:t>
      </w:r>
    </w:p>
    <w:p>
      <w:pPr>
        <w:widowControl/>
        <w:spacing w:line="76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现将《沈阳市城市更新保留建筑不动产登记实施意见(试行)》印发给你们，请结合工作实际，认真抓好贯彻落实。</w:t>
      </w:r>
    </w:p>
    <w:p>
      <w:pPr>
        <w:widowControl/>
        <w:spacing w:line="760" w:lineRule="exact"/>
        <w:rPr>
          <w:rFonts w:ascii="仿宋" w:hAnsi="仿宋" w:eastAsia="仿宋" w:cs="仿宋"/>
          <w:w w:val="95"/>
          <w:sz w:val="32"/>
          <w:szCs w:val="32"/>
        </w:rPr>
      </w:pPr>
    </w:p>
    <w:p>
      <w:pPr>
        <w:widowControl/>
        <w:spacing w:line="76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附件：沈阳市城市更新保留建筑不动产登记实施意见(试行)</w:t>
      </w:r>
    </w:p>
    <w:p>
      <w:pPr>
        <w:widowControl/>
        <w:spacing w:line="640" w:lineRule="exact"/>
        <w:ind w:firstLine="608" w:firstLineChars="200"/>
        <w:rPr>
          <w:rFonts w:ascii="仿宋" w:hAnsi="仿宋" w:eastAsia="仿宋" w:cs="仿宋"/>
          <w:w w:val="95"/>
          <w:sz w:val="32"/>
          <w:szCs w:val="32"/>
        </w:rPr>
      </w:pPr>
    </w:p>
    <w:p>
      <w:pPr>
        <w:widowControl/>
        <w:spacing w:line="640" w:lineRule="exact"/>
        <w:ind w:firstLine="608" w:firstLineChars="200"/>
        <w:rPr>
          <w:rFonts w:ascii="仿宋" w:hAnsi="仿宋" w:eastAsia="仿宋" w:cs="仿宋"/>
          <w:w w:val="95"/>
          <w:sz w:val="32"/>
          <w:szCs w:val="32"/>
        </w:rPr>
      </w:pPr>
    </w:p>
    <w:p>
      <w:pPr>
        <w:widowControl/>
        <w:spacing w:line="64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沈阳市自然资源局          沈阳市城乡建设局</w:t>
      </w:r>
    </w:p>
    <w:p>
      <w:pPr>
        <w:widowControl/>
        <w:spacing w:line="640" w:lineRule="exact"/>
        <w:ind w:firstLine="608" w:firstLineChars="200"/>
        <w:rPr>
          <w:rFonts w:ascii="仿宋" w:hAnsi="仿宋" w:eastAsia="仿宋" w:cs="仿宋"/>
          <w:w w:val="95"/>
          <w:sz w:val="32"/>
          <w:szCs w:val="32"/>
        </w:rPr>
      </w:pPr>
    </w:p>
    <w:p>
      <w:pPr>
        <w:spacing w:line="640" w:lineRule="exact"/>
        <w:rPr>
          <w:rFonts w:ascii="宋体" w:hAnsi="宋体" w:cs="宋体"/>
          <w:b/>
          <w:bCs/>
          <w:color w:val="FF0000"/>
          <w:w w:val="95"/>
          <w:sz w:val="52"/>
          <w:szCs w:val="52"/>
        </w:rPr>
      </w:pPr>
    </w:p>
    <w:p>
      <w:pPr>
        <w:spacing w:line="640" w:lineRule="exact"/>
        <w:ind w:firstLine="4256" w:firstLineChars="1400"/>
        <w:rPr>
          <w:rFonts w:ascii="仿宋" w:hAnsi="仿宋" w:eastAsia="仿宋" w:cs="仿宋"/>
          <w:w w:val="95"/>
          <w:sz w:val="32"/>
          <w:szCs w:val="32"/>
        </w:rPr>
      </w:pPr>
      <w:r>
        <w:rPr>
          <w:rFonts w:hint="eastAsia" w:ascii="仿宋" w:hAnsi="仿宋" w:eastAsia="仿宋" w:cs="仿宋"/>
          <w:w w:val="95"/>
          <w:sz w:val="32"/>
          <w:szCs w:val="32"/>
        </w:rPr>
        <w:t>国家税务总局沈阳市税务局</w:t>
      </w:r>
    </w:p>
    <w:p>
      <w:pPr>
        <w:spacing w:line="640" w:lineRule="exact"/>
        <w:ind w:firstLine="4864" w:firstLineChars="1600"/>
        <w:rPr>
          <w:rFonts w:ascii="宋体" w:hAnsi="宋体" w:cs="宋体"/>
          <w:b/>
          <w:bCs/>
          <w:color w:val="FF0000"/>
          <w:w w:val="95"/>
          <w:sz w:val="52"/>
          <w:szCs w:val="52"/>
        </w:rPr>
      </w:pPr>
      <w:r>
        <w:rPr>
          <w:rFonts w:hint="eastAsia" w:ascii="仿宋" w:hAnsi="仿宋" w:eastAsia="仿宋" w:cs="仿宋"/>
          <w:w w:val="95"/>
          <w:sz w:val="32"/>
          <w:szCs w:val="32"/>
        </w:rPr>
        <w:t>2024年7月2</w:t>
      </w:r>
      <w:r>
        <w:rPr>
          <w:rFonts w:ascii="仿宋" w:hAnsi="仿宋" w:eastAsia="仿宋" w:cs="仿宋"/>
          <w:w w:val="95"/>
          <w:sz w:val="32"/>
          <w:szCs w:val="32"/>
        </w:rPr>
        <w:t>5</w:t>
      </w:r>
      <w:r>
        <w:rPr>
          <w:rFonts w:hint="eastAsia" w:ascii="仿宋" w:hAnsi="仿宋" w:eastAsia="仿宋" w:cs="仿宋"/>
          <w:w w:val="95"/>
          <w:sz w:val="32"/>
          <w:szCs w:val="32"/>
        </w:rPr>
        <w:t>日</w:t>
      </w:r>
    </w:p>
    <w:p>
      <w:pPr>
        <w:spacing w:line="640" w:lineRule="exact"/>
        <w:ind w:firstLine="608" w:firstLineChars="200"/>
        <w:rPr>
          <w:rFonts w:ascii="仿宋" w:hAnsi="仿宋" w:eastAsia="仿宋" w:cs="宋体"/>
          <w:bCs/>
          <w:w w:val="95"/>
          <w:sz w:val="32"/>
          <w:szCs w:val="32"/>
        </w:rPr>
      </w:pPr>
      <w:r>
        <w:rPr>
          <w:rFonts w:hint="eastAsia" w:ascii="仿宋" w:hAnsi="仿宋" w:eastAsia="仿宋" w:cs="宋体"/>
          <w:bCs/>
          <w:w w:val="95"/>
          <w:sz w:val="32"/>
          <w:szCs w:val="32"/>
        </w:rPr>
        <w:t>（联系人：杨晓林，联系电话：</w:t>
      </w:r>
      <w:r>
        <w:rPr>
          <w:rFonts w:ascii="仿宋" w:hAnsi="仿宋" w:eastAsia="仿宋" w:cs="宋体"/>
          <w:bCs/>
          <w:w w:val="95"/>
          <w:sz w:val="32"/>
          <w:szCs w:val="32"/>
        </w:rPr>
        <w:t>13474701723</w:t>
      </w:r>
      <w:r>
        <w:rPr>
          <w:rFonts w:hint="eastAsia" w:ascii="仿宋" w:hAnsi="仿宋" w:eastAsia="仿宋" w:cs="宋体"/>
          <w:bCs/>
          <w:w w:val="95"/>
          <w:sz w:val="32"/>
          <w:szCs w:val="32"/>
        </w:rPr>
        <w:t>）</w:t>
      </w:r>
    </w:p>
    <w:p>
      <w:pPr>
        <w:spacing w:line="640" w:lineRule="exact"/>
        <w:ind w:firstLine="608" w:firstLineChars="200"/>
        <w:rPr>
          <w:rFonts w:ascii="仿宋" w:hAnsi="仿宋" w:eastAsia="仿宋" w:cs="宋体"/>
          <w:bCs/>
          <w:w w:val="95"/>
          <w:sz w:val="32"/>
          <w:szCs w:val="32"/>
        </w:rPr>
      </w:pPr>
      <w:r>
        <w:rPr>
          <w:rFonts w:hint="eastAsia" w:ascii="仿宋" w:hAnsi="仿宋" w:eastAsia="仿宋" w:cs="宋体"/>
          <w:bCs/>
          <w:w w:val="95"/>
          <w:sz w:val="32"/>
          <w:szCs w:val="32"/>
        </w:rPr>
        <w:t>（此件公开发布）</w:t>
      </w: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p>
      <w:pPr>
        <w:spacing w:line="720" w:lineRule="exact"/>
        <w:rPr>
          <w:rFonts w:ascii="黑体" w:hAnsi="黑体" w:eastAsia="黑体" w:cs="宋体"/>
          <w:bCs/>
          <w:w w:val="95"/>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3" w:type="dxa"/>
            <w:tcBorders>
              <w:left w:val="nil"/>
              <w:right w:val="nil"/>
            </w:tcBorders>
            <w:shd w:val="clear" w:color="auto" w:fill="auto"/>
            <w:vAlign w:val="center"/>
          </w:tcPr>
          <w:p>
            <w:pPr>
              <w:rPr>
                <w:rFonts w:ascii="仿宋_GB2312" w:hAnsi="仿宋" w:eastAsia="仿宋_GB2312"/>
                <w:sz w:val="28"/>
                <w:szCs w:val="28"/>
              </w:rPr>
            </w:pPr>
            <w:r>
              <w:rPr>
                <w:rFonts w:hint="eastAsia" w:ascii="仿宋_GB2312" w:hAnsi="仿宋" w:eastAsia="仿宋_GB2312"/>
                <w:sz w:val="28"/>
                <w:szCs w:val="28"/>
              </w:rPr>
              <w:t>沈阳市自然</w:t>
            </w:r>
            <w:r>
              <w:rPr>
                <w:rFonts w:ascii="仿宋_GB2312" w:hAnsi="仿宋" w:eastAsia="仿宋_GB2312"/>
                <w:sz w:val="28"/>
                <w:szCs w:val="28"/>
              </w:rPr>
              <w:t>资源局办公室</w:t>
            </w:r>
          </w:p>
        </w:tc>
        <w:tc>
          <w:tcPr>
            <w:tcW w:w="3193" w:type="dxa"/>
            <w:tcBorders>
              <w:left w:val="nil"/>
              <w:bottom w:val="single" w:color="auto" w:sz="4" w:space="0"/>
              <w:right w:val="nil"/>
            </w:tcBorders>
            <w:shd w:val="clear" w:color="auto" w:fill="auto"/>
            <w:vAlign w:val="center"/>
          </w:tcPr>
          <w:p>
            <w:pPr>
              <w:ind w:firstLine="280" w:firstLineChars="100"/>
              <w:rPr>
                <w:rFonts w:ascii="仿宋_GB2312" w:hAnsi="仿宋" w:eastAsia="仿宋_GB2312"/>
                <w:sz w:val="28"/>
                <w:szCs w:val="28"/>
              </w:rPr>
            </w:pPr>
            <w:bookmarkStart w:id="1" w:name="date2"/>
            <w:r>
              <w:rPr>
                <w:rFonts w:ascii="仿宋_GB2312" w:hAnsi="仿宋" w:eastAsia="仿宋_GB2312"/>
                <w:sz w:val="28"/>
                <w:szCs w:val="28"/>
              </w:rPr>
              <w:t>2024年7月25日</w:t>
            </w:r>
            <w:bookmarkEnd w:id="1"/>
            <w:r>
              <w:rPr>
                <w:rFonts w:hint="eastAsia" w:ascii="仿宋_GB2312" w:hAnsi="仿宋" w:eastAsia="仿宋_GB2312"/>
                <w:sz w:val="28"/>
                <w:szCs w:val="28"/>
              </w:rPr>
              <w:t>印发</w:t>
            </w:r>
          </w:p>
        </w:tc>
      </w:tr>
    </w:tbl>
    <w:p>
      <w:pPr>
        <w:spacing w:line="720" w:lineRule="exact"/>
        <w:rPr>
          <w:rFonts w:ascii="黑体" w:hAnsi="黑体" w:eastAsia="黑体" w:cs="宋体"/>
          <w:bCs/>
          <w:w w:val="95"/>
          <w:sz w:val="32"/>
          <w:szCs w:val="32"/>
        </w:rPr>
      </w:pPr>
      <w:r>
        <w:rPr>
          <w:rFonts w:hint="eastAsia" w:ascii="黑体" w:hAnsi="黑体" w:eastAsia="黑体" w:cs="宋体"/>
          <w:bCs/>
          <w:w w:val="95"/>
          <w:sz w:val="32"/>
          <w:szCs w:val="32"/>
        </w:rPr>
        <w:t>附件</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沈阳市</w:t>
      </w:r>
      <w:r>
        <w:rPr>
          <w:rFonts w:ascii="方正小标宋简体" w:hAnsi="方正小标宋简体" w:eastAsia="方正小标宋简体" w:cs="方正小标宋简体"/>
          <w:sz w:val="44"/>
          <w:szCs w:val="44"/>
        </w:rPr>
        <w:t>城市更新保留建筑不动产登记</w:t>
      </w:r>
    </w:p>
    <w:p>
      <w:pPr>
        <w:widowControl/>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实施意见(试行)</w:t>
      </w:r>
    </w:p>
    <w:p>
      <w:pPr>
        <w:tabs>
          <w:tab w:val="left" w:pos="607"/>
        </w:tabs>
        <w:spacing w:line="560" w:lineRule="exact"/>
        <w:ind w:firstLine="640" w:firstLineChars="200"/>
        <w:rPr>
          <w:rFonts w:ascii="仿宋_GB2312" w:hAnsi="仿宋" w:eastAsia="仿宋_GB2312" w:cs="仿宋"/>
          <w:sz w:val="32"/>
          <w:szCs w:val="32"/>
        </w:rPr>
      </w:pP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为进一步规范城市更新项目保留建筑办理不动产登记、缴税工作，根据《</w:t>
      </w:r>
      <w:r>
        <w:rPr>
          <w:rFonts w:hint="eastAsia" w:ascii="仿宋" w:hAnsi="仿宋" w:eastAsia="仿宋" w:cs="仿宋"/>
          <w:sz w:val="32"/>
          <w:szCs w:val="32"/>
        </w:rPr>
        <w:t>民法典</w:t>
      </w:r>
      <w:r>
        <w:rPr>
          <w:rFonts w:ascii="仿宋" w:hAnsi="仿宋" w:eastAsia="仿宋" w:cs="仿宋"/>
          <w:sz w:val="32"/>
          <w:szCs w:val="32"/>
        </w:rPr>
        <w:t>》《国有土地上房屋征收与补偿条例》《不动产登记暂行条例》《不动产登记暂行条例实施细则》等法律法规，结合我市实际，制定本实施意见。</w:t>
      </w:r>
    </w:p>
    <w:p>
      <w:pPr>
        <w:tabs>
          <w:tab w:val="left" w:pos="607"/>
        </w:tabs>
        <w:spacing w:line="560" w:lineRule="exact"/>
        <w:ind w:firstLine="640" w:firstLineChars="200"/>
        <w:rPr>
          <w:rFonts w:ascii="黑体" w:hAnsi="黑体" w:eastAsia="黑体" w:cs="仿宋"/>
          <w:sz w:val="32"/>
          <w:szCs w:val="32"/>
        </w:rPr>
      </w:pPr>
      <w:r>
        <w:rPr>
          <w:rFonts w:ascii="黑体" w:hAnsi="黑体" w:eastAsia="黑体" w:cs="仿宋"/>
          <w:bCs/>
          <w:sz w:val="32"/>
          <w:szCs w:val="32"/>
        </w:rPr>
        <w:t>一、适用范围</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政府</w:t>
      </w:r>
      <w:r>
        <w:rPr>
          <w:rFonts w:hint="eastAsia" w:ascii="仿宋" w:hAnsi="仿宋" w:eastAsia="仿宋" w:cs="仿宋"/>
          <w:sz w:val="32"/>
          <w:szCs w:val="32"/>
        </w:rPr>
        <w:t>批准</w:t>
      </w:r>
      <w:r>
        <w:rPr>
          <w:rFonts w:ascii="仿宋" w:hAnsi="仿宋" w:eastAsia="仿宋" w:cs="仿宋"/>
          <w:sz w:val="32"/>
          <w:szCs w:val="32"/>
        </w:rPr>
        <w:t>实施城市更新时，对保留建筑办理不动产登记，包括保留建筑的房屋所有权、保留建筑占用范围内的建设用地使用权登记。</w:t>
      </w:r>
    </w:p>
    <w:p>
      <w:pPr>
        <w:tabs>
          <w:tab w:val="left" w:pos="607"/>
        </w:tabs>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其中</w:t>
      </w:r>
      <w:r>
        <w:rPr>
          <w:rFonts w:ascii="仿宋" w:hAnsi="仿宋" w:eastAsia="仿宋" w:cs="仿宋"/>
          <w:color w:val="000000"/>
          <w:sz w:val="32"/>
          <w:szCs w:val="32"/>
        </w:rPr>
        <w:t>保留建筑</w:t>
      </w:r>
      <w:r>
        <w:rPr>
          <w:rFonts w:hint="eastAsia" w:ascii="仿宋" w:hAnsi="仿宋" w:eastAsia="仿宋" w:cs="仿宋"/>
          <w:color w:val="000000"/>
          <w:sz w:val="32"/>
          <w:szCs w:val="32"/>
        </w:rPr>
        <w:t>是指：文物保护单位及不可移动文物，历史建筑，历史文化名城和特色风貌相关规划确定的须保留的建筑以及其他经所在区城市更新领导小组认定可以保留的建筑。</w:t>
      </w:r>
    </w:p>
    <w:p>
      <w:pPr>
        <w:tabs>
          <w:tab w:val="left" w:pos="607"/>
        </w:tabs>
        <w:spacing w:line="560" w:lineRule="exact"/>
        <w:ind w:firstLine="640" w:firstLineChars="200"/>
        <w:rPr>
          <w:rFonts w:ascii="黑体" w:hAnsi="黑体" w:eastAsia="黑体" w:cs="仿宋"/>
          <w:sz w:val="32"/>
          <w:szCs w:val="32"/>
        </w:rPr>
      </w:pPr>
      <w:r>
        <w:rPr>
          <w:rFonts w:ascii="黑体" w:hAnsi="黑体" w:eastAsia="黑体" w:cs="仿宋"/>
          <w:bCs/>
          <w:sz w:val="32"/>
          <w:szCs w:val="32"/>
        </w:rPr>
        <w:t>二、</w:t>
      </w:r>
      <w:r>
        <w:rPr>
          <w:rFonts w:hint="eastAsia" w:ascii="黑体" w:hAnsi="黑体" w:eastAsia="黑体" w:cs="仿宋"/>
          <w:bCs/>
          <w:sz w:val="32"/>
          <w:szCs w:val="32"/>
        </w:rPr>
        <w:t>实施方式</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城市更新涉及国有建设用地使用权及房屋所有权变动的，保留建筑按以下实施方式申请办理不动产登记。</w:t>
      </w:r>
    </w:p>
    <w:p>
      <w:pPr>
        <w:tabs>
          <w:tab w:val="left" w:pos="607"/>
        </w:tabs>
        <w:spacing w:line="560" w:lineRule="exact"/>
        <w:ind w:firstLine="640" w:firstLineChars="200"/>
        <w:rPr>
          <w:rFonts w:ascii="楷体" w:hAnsi="楷体" w:eastAsia="楷体" w:cs="仿宋"/>
          <w:sz w:val="32"/>
          <w:szCs w:val="32"/>
        </w:rPr>
      </w:pPr>
      <w:r>
        <w:rPr>
          <w:rFonts w:ascii="楷体" w:hAnsi="楷体" w:eastAsia="楷体" w:cs="仿宋"/>
          <w:sz w:val="32"/>
          <w:szCs w:val="32"/>
        </w:rPr>
        <w:t>(一)房屋征收</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保留建筑所在地的区政府已依法作出征收决定，区政府认为相关建筑应予以保留，区政府可下发确认保留建筑承接主体的批复，按以下两种方式办理。</w:t>
      </w:r>
    </w:p>
    <w:p>
      <w:pPr>
        <w:pStyle w:val="15"/>
        <w:spacing w:line="560" w:lineRule="exact"/>
        <w:ind w:firstLine="643"/>
        <w:rPr>
          <w:rFonts w:ascii="仿宋_GB2312" w:hAnsi="仿宋" w:eastAsia="仿宋_GB2312" w:cs="仿宋"/>
          <w:b/>
          <w:sz w:val="32"/>
          <w:szCs w:val="32"/>
        </w:rPr>
      </w:pPr>
      <w:r>
        <w:rPr>
          <w:rFonts w:hint="eastAsia" w:ascii="仿宋_GB2312" w:hAnsi="仿宋" w:eastAsia="仿宋_GB2312" w:cs="仿宋"/>
          <w:b/>
          <w:sz w:val="32"/>
          <w:szCs w:val="32"/>
        </w:rPr>
        <w:t>1.房屋、土地产权未注销。</w:t>
      </w:r>
    </w:p>
    <w:p>
      <w:pPr>
        <w:pStyle w:val="15"/>
        <w:spacing w:line="560" w:lineRule="exact"/>
        <w:ind w:firstLine="640"/>
        <w:rPr>
          <w:rFonts w:ascii="仿宋" w:hAnsi="仿宋" w:eastAsia="仿宋" w:cs="仿宋"/>
          <w:sz w:val="32"/>
          <w:szCs w:val="32"/>
        </w:rPr>
      </w:pPr>
      <w:r>
        <w:rPr>
          <w:rFonts w:ascii="仿宋" w:hAnsi="仿宋" w:eastAsia="仿宋" w:cs="仿宋"/>
          <w:sz w:val="32"/>
          <w:szCs w:val="32"/>
        </w:rPr>
        <w:t>承接主体可持政府的征收决定、确认承接主体的批复文件，批复内容包括承接方式（行政</w:t>
      </w:r>
      <w:r>
        <w:rPr>
          <w:rFonts w:hint="eastAsia" w:ascii="仿宋" w:hAnsi="仿宋" w:eastAsia="仿宋" w:cs="仿宋"/>
          <w:sz w:val="32"/>
          <w:szCs w:val="32"/>
        </w:rPr>
        <w:t>性调整、划转，</w:t>
      </w:r>
      <w:r>
        <w:rPr>
          <w:rFonts w:ascii="仿宋" w:hAnsi="仿宋" w:eastAsia="仿宋" w:cs="仿宋"/>
          <w:sz w:val="32"/>
          <w:szCs w:val="32"/>
        </w:rPr>
        <w:t>作价出资等）、承接价格（涉及多个房屋的需分别明</w:t>
      </w:r>
      <w:r>
        <w:rPr>
          <w:rFonts w:hint="eastAsia" w:ascii="仿宋" w:hAnsi="仿宋" w:eastAsia="仿宋" w:cs="仿宋"/>
          <w:sz w:val="32"/>
          <w:szCs w:val="32"/>
        </w:rPr>
        <w:t>确</w:t>
      </w:r>
      <w:r>
        <w:rPr>
          <w:rFonts w:ascii="仿宋" w:hAnsi="仿宋" w:eastAsia="仿宋" w:cs="仿宋"/>
          <w:sz w:val="32"/>
          <w:szCs w:val="32"/>
        </w:rPr>
        <w:t>）、征收补偿协议等资料，申请办理不动产转移登记</w:t>
      </w:r>
      <w:r>
        <w:rPr>
          <w:rFonts w:hint="eastAsia" w:ascii="仿宋" w:hAnsi="仿宋" w:eastAsia="仿宋" w:cs="仿宋"/>
          <w:sz w:val="32"/>
          <w:szCs w:val="32"/>
        </w:rPr>
        <w:t>及缴税业务</w:t>
      </w:r>
      <w:r>
        <w:rPr>
          <w:rFonts w:ascii="仿宋" w:hAnsi="仿宋" w:eastAsia="仿宋" w:cs="仿宋"/>
          <w:sz w:val="32"/>
          <w:szCs w:val="32"/>
        </w:rPr>
        <w:t>。</w:t>
      </w:r>
    </w:p>
    <w:p>
      <w:pPr>
        <w:tabs>
          <w:tab w:val="left" w:pos="607"/>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区政府需确定国资局代表其作为转让方，办理行政性调整、划转或作价出资等过程中涉及的相关税费。</w:t>
      </w:r>
    </w:p>
    <w:p>
      <w:pPr>
        <w:tabs>
          <w:tab w:val="left" w:pos="607"/>
        </w:tabs>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保留建筑只有房屋登记信息，无土地登记信息，承接主体办理不动产登记时，由属地区政府出具确定土地使用权的意见，确定土地用途、用地范围等（涉及住宅保留的，用地范围可按房屋基底进行确认）。</w:t>
      </w:r>
      <w:r>
        <w:rPr>
          <w:rFonts w:hint="eastAsia" w:ascii="仿宋" w:hAnsi="仿宋" w:eastAsia="仿宋"/>
          <w:color w:val="000000"/>
          <w:sz w:val="32"/>
          <w:szCs w:val="32"/>
        </w:rPr>
        <w:t>由自然资源局结合区政府意见及保留建筑登记信息、审批档案等确定土地处置方案。</w:t>
      </w:r>
    </w:p>
    <w:p>
      <w:pPr>
        <w:tabs>
          <w:tab w:val="left" w:pos="607"/>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宗地内部分房屋被注销并重新供地，剩余部分建筑予以保留的，区政府应明确保留土地的范围，出具保留范围的图纸（在保留范围处加盖政府公章）及电子坐标。</w:t>
      </w:r>
    </w:p>
    <w:p>
      <w:pPr>
        <w:tabs>
          <w:tab w:val="left" w:pos="607"/>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对于项目涉及土地不符合划拨目录的，需由承接主体按存量补缴土地出让金及相关税费。</w:t>
      </w:r>
    </w:p>
    <w:p>
      <w:pPr>
        <w:tabs>
          <w:tab w:val="left" w:pos="607"/>
        </w:tabs>
        <w:spacing w:line="560" w:lineRule="exact"/>
        <w:ind w:firstLine="643" w:firstLineChars="200"/>
        <w:rPr>
          <w:rFonts w:ascii="仿宋_GB2312" w:hAnsi="仿宋" w:eastAsia="仿宋_GB2312" w:cs="仿宋"/>
          <w:color w:val="C00000"/>
          <w:sz w:val="32"/>
          <w:szCs w:val="32"/>
        </w:rPr>
      </w:pPr>
      <w:r>
        <w:rPr>
          <w:rFonts w:hint="eastAsia" w:ascii="仿宋_GB2312" w:hAnsi="仿宋" w:eastAsia="仿宋_GB2312" w:cs="仿宋"/>
          <w:b/>
          <w:color w:val="000000"/>
          <w:sz w:val="32"/>
          <w:szCs w:val="32"/>
        </w:rPr>
        <w:t>2.房屋、土地产权注销。</w:t>
      </w:r>
      <w:r>
        <w:rPr>
          <w:rFonts w:hint="eastAsia" w:ascii="仿宋_GB2312" w:hAnsi="仿宋" w:eastAsia="仿宋_GB2312" w:cs="仿宋"/>
          <w:color w:val="C00000"/>
          <w:sz w:val="32"/>
          <w:szCs w:val="32"/>
        </w:rPr>
        <w:t xml:space="preserve">    </w:t>
      </w:r>
    </w:p>
    <w:p>
      <w:pPr>
        <w:tabs>
          <w:tab w:val="left" w:pos="607"/>
        </w:tabs>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办理原权利注销登记。办理注销登记可采取两种方式，</w:t>
      </w:r>
      <w:r>
        <w:rPr>
          <w:rFonts w:ascii="仿宋" w:hAnsi="仿宋" w:eastAsia="仿宋" w:cs="仿宋"/>
          <w:b/>
          <w:sz w:val="32"/>
          <w:szCs w:val="32"/>
        </w:rPr>
        <w:t>一是</w:t>
      </w:r>
      <w:r>
        <w:rPr>
          <w:rFonts w:ascii="仿宋" w:hAnsi="仿宋" w:eastAsia="仿宋" w:cs="仿宋"/>
          <w:sz w:val="32"/>
          <w:szCs w:val="32"/>
        </w:rPr>
        <w:t>区政府持征收决定、征收公告、征收范围图，在完成征收补偿后，由政府向不动产登记机构出具嘱托函（函中明确建筑物予以保留），不动产登记机构办理产权注销登记。</w:t>
      </w:r>
      <w:r>
        <w:rPr>
          <w:rFonts w:ascii="仿宋" w:hAnsi="仿宋" w:eastAsia="仿宋" w:cs="仿宋"/>
          <w:b/>
          <w:sz w:val="32"/>
          <w:szCs w:val="32"/>
        </w:rPr>
        <w:t>二是</w:t>
      </w:r>
      <w:r>
        <w:rPr>
          <w:rFonts w:ascii="仿宋" w:hAnsi="仿宋" w:eastAsia="仿宋" w:cs="仿宋"/>
          <w:sz w:val="32"/>
          <w:szCs w:val="32"/>
        </w:rPr>
        <w:t>由区政府确定的保留建筑承接主体，持政府征收决定、确定承接主体的批复文件及相关征收补偿协议，在保留建筑补偿安置后，保留建筑不灭失的情况下，由承接主体申请办理保留建筑国有建设用地使用权及房屋所有权注销登记。</w:t>
      </w:r>
    </w:p>
    <w:p>
      <w:pPr>
        <w:tabs>
          <w:tab w:val="left" w:pos="607"/>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确定土地供应条件。由保留建筑所在地区政府编制《保留建筑整体实施方案》,明确宗地内保留建筑的处置方式、改造标准、改造时序、</w:t>
      </w:r>
      <w:r>
        <w:rPr>
          <w:rFonts w:hint="eastAsia" w:ascii="仿宋" w:hAnsi="仿宋" w:eastAsia="仿宋"/>
          <w:sz w:val="32"/>
          <w:szCs w:val="32"/>
        </w:rPr>
        <w:t>质量安全责任监管、</w:t>
      </w:r>
      <w:r>
        <w:rPr>
          <w:rFonts w:ascii="仿宋" w:hAnsi="仿宋" w:eastAsia="仿宋" w:cs="仿宋"/>
          <w:sz w:val="32"/>
          <w:szCs w:val="32"/>
        </w:rPr>
        <w:t>移交及承接主体等要求</w:t>
      </w:r>
      <w:r>
        <w:rPr>
          <w:rFonts w:hint="eastAsia" w:ascii="仿宋" w:hAnsi="仿宋" w:eastAsia="仿宋" w:cs="仿宋"/>
          <w:sz w:val="32"/>
          <w:szCs w:val="32"/>
        </w:rPr>
        <w:t>，</w:t>
      </w:r>
      <w:r>
        <w:rPr>
          <w:rFonts w:hint="eastAsia" w:ascii="仿宋" w:hAnsi="仿宋" w:eastAsia="仿宋"/>
          <w:sz w:val="32"/>
          <w:szCs w:val="32"/>
        </w:rPr>
        <w:t>并按解遗办证要求，完成保留建筑质量检测、消防等相关手续</w:t>
      </w:r>
      <w:r>
        <w:rPr>
          <w:rFonts w:ascii="仿宋" w:hAnsi="仿宋" w:eastAsia="仿宋" w:cs="仿宋"/>
          <w:sz w:val="32"/>
          <w:szCs w:val="32"/>
        </w:rPr>
        <w:t>；</w:t>
      </w:r>
      <w:r>
        <w:rPr>
          <w:rFonts w:hint="eastAsia" w:ascii="仿宋" w:hAnsi="仿宋" w:eastAsia="仿宋" w:cs="仿宋"/>
          <w:sz w:val="32"/>
          <w:szCs w:val="32"/>
        </w:rPr>
        <w:t>由自然资源部门结合保留建筑实测成果、建筑质量、风貌特色和更新需求核定规划条件，将保留建筑位置、建筑面积、基地面积及保留、保护相关规划管控要求等内容纳入规划条件，报市政府审定通过后，出具规划条件；拟供宗地(含保留建筑)《保留建筑整体实施方案》、规划条件等一并纳入土地供应方案</w:t>
      </w:r>
      <w:r>
        <w:rPr>
          <w:rFonts w:ascii="仿宋" w:hAnsi="仿宋" w:eastAsia="仿宋" w:cs="仿宋"/>
          <w:sz w:val="32"/>
          <w:szCs w:val="32"/>
        </w:rPr>
        <w:t>。</w:t>
      </w:r>
    </w:p>
    <w:p>
      <w:pPr>
        <w:tabs>
          <w:tab w:val="left" w:pos="607"/>
        </w:tabs>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w:t>
      </w:r>
      <w:r>
        <w:rPr>
          <w:rFonts w:ascii="仿宋" w:hAnsi="仿宋" w:eastAsia="仿宋" w:cs="仿宋"/>
          <w:color w:val="000000"/>
          <w:sz w:val="32"/>
          <w:szCs w:val="32"/>
        </w:rPr>
        <w:t>办理供地手续。宗地《保留建筑整体实施方案》与其他要件资料一并公告。</w:t>
      </w:r>
      <w:r>
        <w:rPr>
          <w:rFonts w:hint="eastAsia" w:ascii="仿宋" w:hAnsi="仿宋" w:eastAsia="仿宋" w:cs="仿宋"/>
          <w:color w:val="000000"/>
          <w:sz w:val="32"/>
          <w:szCs w:val="32"/>
        </w:rPr>
        <w:t>用地单位</w:t>
      </w:r>
      <w:r>
        <w:rPr>
          <w:rFonts w:ascii="仿宋" w:hAnsi="仿宋" w:eastAsia="仿宋" w:cs="仿宋"/>
          <w:color w:val="000000"/>
          <w:sz w:val="32"/>
          <w:szCs w:val="32"/>
        </w:rPr>
        <w:t>应与保留建筑所在地区政府签订《国有建设用地履约协议书》,约定按照《保留建筑整体实施方案》、规划条件对保留建筑实施保留和利用。</w:t>
      </w:r>
    </w:p>
    <w:p>
      <w:pPr>
        <w:tabs>
          <w:tab w:val="left" w:pos="607"/>
        </w:tabs>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w:t>
      </w:r>
      <w:r>
        <w:rPr>
          <w:rFonts w:ascii="仿宋" w:hAnsi="仿宋" w:eastAsia="仿宋" w:cs="仿宋"/>
          <w:color w:val="000000"/>
          <w:sz w:val="32"/>
          <w:szCs w:val="32"/>
        </w:rPr>
        <w:t>办理首次登记。</w:t>
      </w:r>
      <w:r>
        <w:rPr>
          <w:rFonts w:hint="eastAsia" w:ascii="仿宋" w:hAnsi="仿宋" w:eastAsia="仿宋" w:cs="仿宋"/>
          <w:color w:val="000000"/>
          <w:sz w:val="32"/>
          <w:szCs w:val="32"/>
        </w:rPr>
        <w:t>用地单位</w:t>
      </w:r>
      <w:r>
        <w:rPr>
          <w:rFonts w:ascii="仿宋" w:hAnsi="仿宋" w:eastAsia="仿宋" w:cs="仿宋"/>
          <w:color w:val="000000"/>
          <w:sz w:val="32"/>
          <w:szCs w:val="32"/>
        </w:rPr>
        <w:t>凭《国有建设用地使用权出让合同》或《划拨决定书》等资料依法申请办理国有建设用地使用权首次登记。土地使用权人可在保留建筑</w:t>
      </w:r>
      <w:r>
        <w:rPr>
          <w:rFonts w:hint="eastAsia" w:ascii="仿宋" w:hAnsi="仿宋" w:eastAsia="仿宋" w:cs="仿宋"/>
          <w:color w:val="000000"/>
          <w:sz w:val="32"/>
          <w:szCs w:val="32"/>
        </w:rPr>
        <w:t>整体或首期</w:t>
      </w:r>
      <w:r>
        <w:rPr>
          <w:rFonts w:ascii="仿宋" w:hAnsi="仿宋" w:eastAsia="仿宋" w:cs="仿宋"/>
          <w:color w:val="000000"/>
          <w:sz w:val="32"/>
          <w:szCs w:val="32"/>
        </w:rPr>
        <w:t>竣工验收后，申请办理房屋首次登记。</w:t>
      </w:r>
      <w:r>
        <w:rPr>
          <w:rFonts w:hint="eastAsia" w:ascii="仿宋" w:hAnsi="仿宋" w:eastAsia="仿宋" w:cs="仿宋"/>
          <w:color w:val="000000"/>
          <w:sz w:val="32"/>
          <w:szCs w:val="32"/>
        </w:rPr>
        <w:t>如保留建筑不涉及翻、改、扩建的，可持原注销档案中的相关材料，作为规划、竣工验收证明材料（原房屋档案中无验收手续的，需办理质量检测、消防），按原房屋登记信息办理房屋所有权首次登记。</w:t>
      </w:r>
    </w:p>
    <w:p>
      <w:pPr>
        <w:tabs>
          <w:tab w:val="left" w:pos="607"/>
        </w:tabs>
        <w:spacing w:line="560" w:lineRule="exact"/>
        <w:ind w:firstLine="640" w:firstLineChars="200"/>
        <w:rPr>
          <w:rFonts w:ascii="楷体" w:hAnsi="楷体" w:eastAsia="楷体" w:cs="仿宋"/>
          <w:sz w:val="32"/>
          <w:szCs w:val="32"/>
        </w:rPr>
      </w:pPr>
      <w:r>
        <w:rPr>
          <w:rFonts w:ascii="楷体" w:hAnsi="楷体" w:eastAsia="楷体" w:cs="仿宋"/>
          <w:sz w:val="32"/>
          <w:szCs w:val="32"/>
        </w:rPr>
        <w:t xml:space="preserve"> (二) 房屋</w:t>
      </w:r>
      <w:r>
        <w:rPr>
          <w:rFonts w:hint="eastAsia" w:ascii="楷体" w:hAnsi="楷体" w:eastAsia="楷体" w:cs="仿宋"/>
          <w:sz w:val="32"/>
          <w:szCs w:val="32"/>
        </w:rPr>
        <w:t>交易</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经</w:t>
      </w:r>
      <w:r>
        <w:rPr>
          <w:rFonts w:hint="eastAsia" w:ascii="仿宋" w:hAnsi="仿宋" w:eastAsia="仿宋" w:cs="仿宋"/>
          <w:sz w:val="32"/>
          <w:szCs w:val="32"/>
        </w:rPr>
        <w:t>属地</w:t>
      </w:r>
      <w:r>
        <w:rPr>
          <w:rFonts w:ascii="仿宋" w:hAnsi="仿宋" w:eastAsia="仿宋" w:cs="仿宋"/>
          <w:sz w:val="32"/>
          <w:szCs w:val="32"/>
        </w:rPr>
        <w:t>区政府确定的保留建筑，由搬迁改造项目业主与原权利人签订房屋买卖合同或搬迁补偿安置协议等相关法律文件，并在文件中约定保留建筑房屋所有权转让及房屋占用范围内的建设用地使用权随房屋所有权一并转让事宜。</w:t>
      </w:r>
    </w:p>
    <w:p>
      <w:pPr>
        <w:tabs>
          <w:tab w:val="left" w:pos="607"/>
        </w:tabs>
        <w:spacing w:line="560" w:lineRule="exact"/>
        <w:ind w:firstLine="640" w:firstLineChars="200"/>
        <w:rPr>
          <w:rFonts w:ascii="仿宋" w:hAnsi="仿宋" w:eastAsia="仿宋" w:cs="仿宋"/>
          <w:color w:val="FF0000"/>
          <w:sz w:val="32"/>
          <w:szCs w:val="32"/>
          <w:highlight w:val="yellow"/>
        </w:rPr>
      </w:pPr>
      <w:r>
        <w:rPr>
          <w:rFonts w:ascii="仿宋" w:hAnsi="仿宋" w:eastAsia="仿宋" w:cs="仿宋"/>
          <w:sz w:val="32"/>
          <w:szCs w:val="32"/>
        </w:rPr>
        <w:t>转让双方共同申请办理房屋交易和不动产转移登记。房屋买卖合同或搬迁补偿安置协议等相关法律文件约定对保留建筑进行补偿安置的，应在补偿安置完毕后申请办理房屋交易和不动产转移登记。</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保留建筑所在土地性质为划拨且用途符合《划拨用地目录》的，可以继续以划拨方式使用土地；不符合《划拨用地目录》的，应按规定办理土地使用权出让手续，并依照国家有关规定缴纳土地使用权出让费用</w:t>
      </w:r>
      <w:r>
        <w:rPr>
          <w:rFonts w:hint="eastAsia" w:ascii="仿宋" w:hAnsi="仿宋" w:eastAsia="仿宋" w:cs="仿宋"/>
          <w:sz w:val="32"/>
          <w:szCs w:val="32"/>
        </w:rPr>
        <w:t>及相关税费</w:t>
      </w:r>
      <w:r>
        <w:rPr>
          <w:rFonts w:ascii="仿宋" w:hAnsi="仿宋" w:eastAsia="仿宋" w:cs="仿宋"/>
          <w:sz w:val="32"/>
          <w:szCs w:val="32"/>
        </w:rPr>
        <w:t>后办理房屋交易和不动产转移登记。</w:t>
      </w:r>
    </w:p>
    <w:p>
      <w:pPr>
        <w:tabs>
          <w:tab w:val="left" w:pos="607"/>
        </w:tabs>
        <w:spacing w:line="560" w:lineRule="exact"/>
        <w:ind w:firstLine="640" w:firstLineChars="200"/>
        <w:rPr>
          <w:rFonts w:ascii="黑体" w:hAnsi="黑体" w:eastAsia="黑体" w:cs="仿宋"/>
          <w:sz w:val="32"/>
          <w:szCs w:val="32"/>
        </w:rPr>
      </w:pPr>
      <w:r>
        <w:rPr>
          <w:rFonts w:ascii="黑体" w:hAnsi="黑体" w:eastAsia="黑体" w:cs="仿宋"/>
          <w:bCs/>
          <w:sz w:val="32"/>
          <w:szCs w:val="32"/>
        </w:rPr>
        <w:t>三、相关事项</w:t>
      </w:r>
    </w:p>
    <w:p>
      <w:pPr>
        <w:tabs>
          <w:tab w:val="left" w:pos="607"/>
        </w:tabs>
        <w:spacing w:line="560" w:lineRule="exact"/>
        <w:ind w:firstLine="640" w:firstLineChars="200"/>
        <w:rPr>
          <w:rFonts w:ascii="仿宋" w:hAnsi="仿宋" w:eastAsia="仿宋" w:cs="仿宋"/>
          <w:sz w:val="32"/>
          <w:szCs w:val="32"/>
        </w:rPr>
      </w:pPr>
      <w:r>
        <w:rPr>
          <w:rFonts w:ascii="仿宋" w:hAnsi="仿宋" w:eastAsia="仿宋" w:cs="仿宋"/>
          <w:sz w:val="32"/>
          <w:szCs w:val="32"/>
        </w:rPr>
        <w:t>本实施意见自印发之日起开始施行，有效期2年。</w:t>
      </w:r>
      <w:r>
        <w:rPr>
          <w:rFonts w:hint="eastAsia" w:ascii="仿宋" w:hAnsi="仿宋" w:eastAsia="仿宋" w:cs="仿宋"/>
          <w:sz w:val="32"/>
          <w:szCs w:val="32"/>
        </w:rPr>
        <w:t>新民</w:t>
      </w:r>
      <w:r>
        <w:rPr>
          <w:rFonts w:ascii="仿宋" w:hAnsi="仿宋" w:eastAsia="仿宋" w:cs="仿宋"/>
          <w:sz w:val="32"/>
          <w:szCs w:val="32"/>
        </w:rPr>
        <w:t>市</w:t>
      </w:r>
      <w:r>
        <w:rPr>
          <w:rFonts w:hint="eastAsia" w:ascii="仿宋" w:hAnsi="仿宋" w:eastAsia="仿宋" w:cs="仿宋"/>
          <w:sz w:val="32"/>
          <w:szCs w:val="32"/>
        </w:rPr>
        <w:t>、法库县、康平县</w:t>
      </w:r>
      <w:r>
        <w:rPr>
          <w:rFonts w:ascii="仿宋" w:hAnsi="仿宋" w:eastAsia="仿宋" w:cs="仿宋"/>
          <w:sz w:val="32"/>
          <w:szCs w:val="32"/>
        </w:rPr>
        <w:t>可参照本实施意见执行。</w:t>
      </w:r>
    </w:p>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readOnly"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197.224.47:80/seeyon/officeservlet"/>
  </w:docVars>
  <w:rsids>
    <w:rsidRoot w:val="00B8069F"/>
    <w:rsid w:val="000513DA"/>
    <w:rsid w:val="000676D9"/>
    <w:rsid w:val="00082096"/>
    <w:rsid w:val="000A4E65"/>
    <w:rsid w:val="000B4207"/>
    <w:rsid w:val="000B7FEB"/>
    <w:rsid w:val="000D7147"/>
    <w:rsid w:val="000E691A"/>
    <w:rsid w:val="000F2773"/>
    <w:rsid w:val="001549B4"/>
    <w:rsid w:val="00173EAC"/>
    <w:rsid w:val="00186666"/>
    <w:rsid w:val="001B15A1"/>
    <w:rsid w:val="001D4DD7"/>
    <w:rsid w:val="0020729C"/>
    <w:rsid w:val="00281D99"/>
    <w:rsid w:val="002B2738"/>
    <w:rsid w:val="002E322C"/>
    <w:rsid w:val="002F59DC"/>
    <w:rsid w:val="0032399F"/>
    <w:rsid w:val="003313A3"/>
    <w:rsid w:val="00341A26"/>
    <w:rsid w:val="003572D8"/>
    <w:rsid w:val="00382AFF"/>
    <w:rsid w:val="003A025D"/>
    <w:rsid w:val="003C2B06"/>
    <w:rsid w:val="00405FE5"/>
    <w:rsid w:val="00430771"/>
    <w:rsid w:val="00472F15"/>
    <w:rsid w:val="00484BEB"/>
    <w:rsid w:val="004A6FFF"/>
    <w:rsid w:val="004B4889"/>
    <w:rsid w:val="004F25D0"/>
    <w:rsid w:val="004F697A"/>
    <w:rsid w:val="0052643E"/>
    <w:rsid w:val="00554008"/>
    <w:rsid w:val="00591311"/>
    <w:rsid w:val="0059383B"/>
    <w:rsid w:val="005964DC"/>
    <w:rsid w:val="00597268"/>
    <w:rsid w:val="005B4D43"/>
    <w:rsid w:val="005C07DE"/>
    <w:rsid w:val="00605AD4"/>
    <w:rsid w:val="006728A7"/>
    <w:rsid w:val="0068595E"/>
    <w:rsid w:val="00724282"/>
    <w:rsid w:val="007373DC"/>
    <w:rsid w:val="00752ED4"/>
    <w:rsid w:val="007D059F"/>
    <w:rsid w:val="00820D11"/>
    <w:rsid w:val="008634BB"/>
    <w:rsid w:val="00863573"/>
    <w:rsid w:val="00880F69"/>
    <w:rsid w:val="0088619A"/>
    <w:rsid w:val="008A6F9B"/>
    <w:rsid w:val="008D6253"/>
    <w:rsid w:val="008F6003"/>
    <w:rsid w:val="00907C3C"/>
    <w:rsid w:val="009461D3"/>
    <w:rsid w:val="00960041"/>
    <w:rsid w:val="00975B62"/>
    <w:rsid w:val="009D3331"/>
    <w:rsid w:val="009E4B5B"/>
    <w:rsid w:val="00A65864"/>
    <w:rsid w:val="00A7107F"/>
    <w:rsid w:val="00AC3451"/>
    <w:rsid w:val="00B020FA"/>
    <w:rsid w:val="00B76666"/>
    <w:rsid w:val="00B8069F"/>
    <w:rsid w:val="00C532A9"/>
    <w:rsid w:val="00C65BDE"/>
    <w:rsid w:val="00C77A4D"/>
    <w:rsid w:val="00C77BDE"/>
    <w:rsid w:val="00CB1635"/>
    <w:rsid w:val="00CC4C8C"/>
    <w:rsid w:val="00CD3886"/>
    <w:rsid w:val="00CE3156"/>
    <w:rsid w:val="00D22DF5"/>
    <w:rsid w:val="00D81C19"/>
    <w:rsid w:val="00DC5F07"/>
    <w:rsid w:val="00DD4A85"/>
    <w:rsid w:val="00E04D16"/>
    <w:rsid w:val="00E23213"/>
    <w:rsid w:val="00E37C5E"/>
    <w:rsid w:val="00E64F4A"/>
    <w:rsid w:val="00F02463"/>
    <w:rsid w:val="00F03B5C"/>
    <w:rsid w:val="00F31A48"/>
    <w:rsid w:val="00F52D92"/>
    <w:rsid w:val="00F67CE7"/>
    <w:rsid w:val="00FA43F0"/>
    <w:rsid w:val="00FB136A"/>
    <w:rsid w:val="00FB2480"/>
    <w:rsid w:val="00FD08E1"/>
    <w:rsid w:val="00FE740E"/>
    <w:rsid w:val="4BC17560"/>
    <w:rsid w:val="4E88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ascii="Calibri Light" w:hAnsi="Calibri Light"/>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customStyle="1" w:styleId="11">
    <w:name w:val="标题 字符"/>
    <w:link w:val="5"/>
    <w:qFormat/>
    <w:uiPriority w:val="10"/>
    <w:rPr>
      <w:rFonts w:ascii="Calibri Light" w:hAnsi="Calibri Light" w:eastAsia="宋体" w:cs="Times New Roman"/>
      <w:b/>
      <w:bCs/>
      <w:sz w:val="32"/>
      <w:szCs w:val="32"/>
    </w:rPr>
  </w:style>
  <w:style w:type="character" w:customStyle="1" w:styleId="12">
    <w:name w:val="标题 1 字符"/>
    <w:link w:val="2"/>
    <w:qFormat/>
    <w:uiPriority w:val="9"/>
    <w:rPr>
      <w:b/>
      <w:bCs/>
      <w:kern w:val="44"/>
      <w:sz w:val="44"/>
      <w:szCs w:val="44"/>
    </w:rPr>
  </w:style>
  <w:style w:type="paragraph" w:customStyle="1" w:styleId="13">
    <w:name w:val="Char Char Char Char"/>
    <w:basedOn w:val="1"/>
    <w:qFormat/>
    <w:uiPriority w:val="0"/>
    <w:pPr>
      <w:widowControl/>
      <w:spacing w:after="160" w:line="240" w:lineRule="exact"/>
      <w:jc w:val="left"/>
    </w:pPr>
    <w:rPr>
      <w:rFonts w:ascii="Times New Roman" w:hAnsi="Times New Roman"/>
      <w:szCs w:val="2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BBAFA-6FBC-4A6B-AB61-AAA1B282BB5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347</Words>
  <Characters>1979</Characters>
  <Lines>16</Lines>
  <Paragraphs>4</Paragraphs>
  <TotalTime>0</TotalTime>
  <ScaleCrop>false</ScaleCrop>
  <LinksUpToDate>false</LinksUpToDate>
  <CharactersWithSpaces>2322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2024-07-25T07:43:00Z</dcterms:created>
  <dc:creator>实施顾问</dc:creator>
  <cp:lastModifiedBy>于淼</cp:lastModifiedBy>
  <dcterms:modified xsi:type="dcterms:W3CDTF">2024-07-25T07:47:54Z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